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6"/>
          <w:szCs w:val="26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Дело № 5-</w:t>
      </w:r>
      <w:r>
        <w:rPr>
          <w:rFonts w:ascii="Times New Roman" w:eastAsia="Times New Roman" w:hAnsi="Times New Roman" w:cs="Times New Roman"/>
          <w:sz w:val="26"/>
          <w:szCs w:val="26"/>
        </w:rPr>
        <w:t>934</w:t>
      </w:r>
      <w:r>
        <w:rPr>
          <w:rFonts w:ascii="Times New Roman" w:eastAsia="Times New Roman" w:hAnsi="Times New Roman" w:cs="Times New Roman"/>
          <w:sz w:val="26"/>
          <w:szCs w:val="26"/>
        </w:rPr>
        <w:t>-26</w:t>
      </w:r>
      <w:r>
        <w:rPr>
          <w:rFonts w:ascii="Times New Roman" w:eastAsia="Times New Roman" w:hAnsi="Times New Roman" w:cs="Times New Roman"/>
          <w:sz w:val="26"/>
          <w:szCs w:val="26"/>
        </w:rPr>
        <w:t>02</w:t>
      </w:r>
      <w:r>
        <w:rPr>
          <w:rFonts w:ascii="Times New Roman" w:eastAsia="Times New Roman" w:hAnsi="Times New Roman" w:cs="Times New Roman"/>
          <w:sz w:val="26"/>
          <w:szCs w:val="26"/>
        </w:rPr>
        <w:t>/202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 делу об административном правонарушении</w:t>
      </w:r>
    </w:p>
    <w:p>
      <w:pPr>
        <w:spacing w:before="0" w:after="0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город Сургут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</w:t>
      </w:r>
      <w:r>
        <w:rPr>
          <w:rFonts w:ascii="Times New Roman" w:eastAsia="Times New Roman" w:hAnsi="Times New Roman" w:cs="Times New Roman"/>
          <w:sz w:val="27"/>
          <w:szCs w:val="27"/>
        </w:rPr>
        <w:t>24 июня 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</w:t>
      </w:r>
    </w:p>
    <w:p>
      <w:pPr>
        <w:spacing w:before="0" w:after="0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судья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Сургутского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7"/>
          <w:szCs w:val="27"/>
        </w:rPr>
        <w:t>Бордунов М.Б.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расположенный по адресу: ХМАО-Югра, г. Сургут, ул. Гагарина д. 9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>. 30</w:t>
      </w:r>
      <w:r>
        <w:rPr>
          <w:rFonts w:ascii="Times New Roman" w:eastAsia="Times New Roman" w:hAnsi="Times New Roman" w:cs="Times New Roman"/>
          <w:sz w:val="27"/>
          <w:szCs w:val="27"/>
        </w:rPr>
        <w:t>8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right="22" w:firstLine="60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рассмотрев материалы дела об административном правонарушении, предусмотренном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ч. 1 </w:t>
      </w:r>
      <w:r>
        <w:rPr>
          <w:rFonts w:ascii="Times New Roman" w:eastAsia="Times New Roman" w:hAnsi="Times New Roman" w:cs="Times New Roman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sz w:val="27"/>
          <w:szCs w:val="27"/>
        </w:rPr>
        <w:t>т. 15.33.2 КоАП РФ, в отношении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Пилаева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Андрея Ивановича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UserDefinedgrp-37rplc-8"/>
          <w:rFonts w:ascii="Times New Roman" w:eastAsia="Times New Roman" w:hAnsi="Times New Roman" w:cs="Times New Roman"/>
          <w:sz w:val="27"/>
          <w:szCs w:val="27"/>
        </w:rPr>
        <w:t>...</w:t>
      </w:r>
    </w:p>
    <w:p>
      <w:pPr>
        <w:spacing w:before="0" w:after="0"/>
        <w:ind w:firstLine="567"/>
        <w:jc w:val="center"/>
        <w:rPr>
          <w:sz w:val="27"/>
          <w:szCs w:val="27"/>
        </w:rPr>
      </w:pP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Пилаев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А.И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., являясь </w:t>
      </w:r>
      <w:r>
        <w:rPr>
          <w:rStyle w:val="cat-UserDefinedgrp-38rplc-15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по телекоммуникационным каналам связи </w:t>
      </w:r>
      <w:r>
        <w:rPr>
          <w:rFonts w:ascii="Times New Roman" w:eastAsia="Times New Roman" w:hAnsi="Times New Roman" w:cs="Times New Roman"/>
          <w:sz w:val="27"/>
          <w:szCs w:val="27"/>
        </w:rPr>
        <w:t>17.03.2026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представил в Отделение фонда пенсионного и социального страхования Российской Федерации по </w:t>
      </w:r>
      <w:r>
        <w:rPr>
          <w:rFonts w:ascii="Times New Roman" w:eastAsia="Times New Roman" w:hAnsi="Times New Roman" w:cs="Times New Roman"/>
          <w:sz w:val="27"/>
          <w:szCs w:val="27"/>
        </w:rPr>
        <w:t>ХМАО</w:t>
      </w:r>
      <w:r>
        <w:rPr>
          <w:rFonts w:ascii="Times New Roman" w:eastAsia="Times New Roman" w:hAnsi="Times New Roman" w:cs="Times New Roman"/>
          <w:sz w:val="27"/>
          <w:szCs w:val="27"/>
        </w:rPr>
        <w:t>-Югре сведения о застрахованных лицах по форме сведений (</w:t>
      </w:r>
      <w:r>
        <w:rPr>
          <w:rFonts w:ascii="Times New Roman" w:eastAsia="Times New Roman" w:hAnsi="Times New Roman" w:cs="Times New Roman"/>
          <w:sz w:val="27"/>
          <w:szCs w:val="27"/>
        </w:rPr>
        <w:t>ЕФС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-1 </w:t>
      </w:r>
      <w:r>
        <w:rPr>
          <w:rFonts w:ascii="Times New Roman" w:eastAsia="Times New Roman" w:hAnsi="Times New Roman" w:cs="Times New Roman"/>
          <w:sz w:val="27"/>
          <w:szCs w:val="27"/>
        </w:rPr>
        <w:t>ГПД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), обращение № </w:t>
      </w:r>
      <w:r>
        <w:rPr>
          <w:rFonts w:ascii="Times New Roman" w:eastAsia="Times New Roman" w:hAnsi="Times New Roman" w:cs="Times New Roman"/>
          <w:sz w:val="27"/>
          <w:szCs w:val="27"/>
        </w:rPr>
        <w:t>ЕФС</w:t>
      </w:r>
      <w:r>
        <w:rPr>
          <w:rFonts w:ascii="Times New Roman" w:eastAsia="Times New Roman" w:hAnsi="Times New Roman" w:cs="Times New Roman"/>
          <w:sz w:val="27"/>
          <w:szCs w:val="27"/>
        </w:rPr>
        <w:t>-1-</w:t>
      </w:r>
      <w:r>
        <w:rPr>
          <w:rFonts w:ascii="Times New Roman" w:eastAsia="Times New Roman" w:hAnsi="Times New Roman" w:cs="Times New Roman"/>
          <w:sz w:val="27"/>
          <w:szCs w:val="27"/>
        </w:rPr>
        <w:t>126</w:t>
      </w: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>012825479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срок предоставления которого не позднее рабочего дня, следующего за днем заключения с застрахованным лицом соответствующего договора, а в случае прекращения договора, не позднее рабочего дня, следующего за днем его прекращения. Период, за который должен быть представлен отчет, отсутствует в представленных сведениях. В отношении 1 застрахованных лиц выявлено 1 правонарушение: </w:t>
      </w:r>
    </w:p>
    <w:tbl>
      <w:tblPr>
        <w:tblW w:w="10065" w:type="dxa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1067"/>
        <w:gridCol w:w="2086"/>
        <w:gridCol w:w="2111"/>
        <w:gridCol w:w="1549"/>
        <w:gridCol w:w="3222"/>
      </w:tblGrid>
      <w:tr>
        <w:tblPrEx>
          <w:tblW w:w="10065" w:type="dxa"/>
          <w:tblInd w:w="116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noWrap w:val="0"/>
            <w:tcMar>
              <w:top w:w="8" w:type="dxa"/>
              <w:left w:w="108" w:type="dxa"/>
              <w:bottom w:w="8" w:type="dxa"/>
              <w:right w:w="108" w:type="dxa"/>
            </w:tcMar>
            <w:vAlign w:val="top"/>
            <w:hideMark/>
          </w:tcPr>
          <w:p>
            <w:pPr>
              <w:spacing w:before="0" w:after="0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  <w:t>№ п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  <w:t>/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  <w:t>п</w:t>
            </w:r>
          </w:p>
        </w:tc>
        <w:tc>
          <w:tcPr>
            <w:tcW w:w="21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8" w:type="dxa"/>
              <w:left w:w="108" w:type="dxa"/>
              <w:bottom w:w="8" w:type="dxa"/>
              <w:right w:w="108" w:type="dxa"/>
            </w:tcMar>
            <w:vAlign w:val="top"/>
            <w:hideMark/>
          </w:tcPr>
          <w:p>
            <w:pPr>
              <w:spacing w:before="0" w:after="0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  <w:t>СНИЛС</w:t>
            </w:r>
          </w:p>
        </w:tc>
        <w:tc>
          <w:tcPr>
            <w:tcW w:w="21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8" w:type="dxa"/>
              <w:left w:w="108" w:type="dxa"/>
              <w:bottom w:w="8" w:type="dxa"/>
              <w:right w:w="108" w:type="dxa"/>
            </w:tcMar>
            <w:vAlign w:val="top"/>
            <w:hideMark/>
          </w:tcPr>
          <w:p>
            <w:pPr>
              <w:spacing w:before="0" w:after="0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  <w:t xml:space="preserve">Код КМ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  <w:t>ДГПХ</w:t>
            </w:r>
          </w:p>
        </w:tc>
        <w:tc>
          <w:tcPr>
            <w:tcW w:w="15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8" w:type="dxa"/>
              <w:left w:w="108" w:type="dxa"/>
              <w:bottom w:w="8" w:type="dxa"/>
              <w:right w:w="108" w:type="dxa"/>
            </w:tcMar>
            <w:vAlign w:val="top"/>
            <w:hideMark/>
          </w:tcPr>
          <w:p>
            <w:pPr>
              <w:spacing w:before="0" w:after="0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  <w:t>Дата начала/</w:t>
            </w:r>
          </w:p>
          <w:p>
            <w:pPr>
              <w:spacing w:before="0" w:after="0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  <w:t xml:space="preserve">окончания договора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  <w:t>ГПХ</w:t>
            </w:r>
          </w:p>
        </w:tc>
        <w:tc>
          <w:tcPr>
            <w:tcW w:w="3418" w:type="dxa"/>
            <w:tcBorders>
              <w:left w:val="single" w:sz="6" w:space="0" w:color="000000"/>
              <w:bottom w:val="single" w:sz="6" w:space="0" w:color="000000"/>
            </w:tcBorders>
            <w:noWrap w:val="0"/>
            <w:tcMar>
              <w:top w:w="8" w:type="dxa"/>
              <w:left w:w="108" w:type="dxa"/>
              <w:bottom w:w="8" w:type="dxa"/>
              <w:right w:w="108" w:type="dxa"/>
            </w:tcMar>
            <w:vAlign w:val="top"/>
            <w:hideMark/>
          </w:tcPr>
          <w:p>
            <w:pPr>
              <w:spacing w:before="0" w:after="0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  <w:t>Дата и время совершения правонарушения</w:t>
            </w:r>
          </w:p>
        </w:tc>
      </w:tr>
      <w:tr>
        <w:tblPrEx>
          <w:tblW w:w="10065" w:type="dxa"/>
          <w:tblInd w:w="116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/>
        </w:trPr>
        <w:tc>
          <w:tcPr>
            <w:tcW w:w="851" w:type="dxa"/>
            <w:tcBorders>
              <w:top w:val="single" w:sz="6" w:space="0" w:color="000000"/>
              <w:right w:val="single" w:sz="6" w:space="0" w:color="000000"/>
            </w:tcBorders>
            <w:noWrap w:val="0"/>
            <w:tcMar>
              <w:top w:w="8" w:type="dxa"/>
              <w:left w:w="108" w:type="dxa"/>
              <w:bottom w:w="8" w:type="dxa"/>
              <w:right w:w="108" w:type="dxa"/>
            </w:tcMar>
            <w:vAlign w:val="top"/>
            <w:hideMark/>
          </w:tcPr>
          <w:p>
            <w:pPr>
              <w:spacing w:before="0" w:after="0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 w:val="0"/>
            <w:tcMar>
              <w:top w:w="8" w:type="dxa"/>
              <w:left w:w="108" w:type="dxa"/>
              <w:bottom w:w="8" w:type="dxa"/>
              <w:right w:w="108" w:type="dxa"/>
            </w:tcMar>
            <w:vAlign w:val="top"/>
            <w:hideMark/>
          </w:tcPr>
          <w:p>
            <w:pPr>
              <w:spacing w:before="0" w:after="0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</w:pPr>
            <w:r>
              <w:rPr>
                <w:rStyle w:val="cat-UserDefinedgrp-39rplc-19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  <w:t>...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 w:val="0"/>
            <w:tcMar>
              <w:top w:w="8" w:type="dxa"/>
              <w:left w:w="108" w:type="dxa"/>
              <w:bottom w:w="8" w:type="dxa"/>
              <w:right w:w="108" w:type="dxa"/>
            </w:tcMar>
            <w:vAlign w:val="top"/>
            <w:hideMark/>
          </w:tcPr>
          <w:p>
            <w:pPr>
              <w:spacing w:before="0" w:after="0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</w:pP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noWrap w:val="0"/>
            <w:tcMar>
              <w:top w:w="8" w:type="dxa"/>
              <w:left w:w="108" w:type="dxa"/>
              <w:bottom w:w="8" w:type="dxa"/>
              <w:right w:w="108" w:type="dxa"/>
            </w:tcMar>
            <w:vAlign w:val="top"/>
            <w:hideMark/>
          </w:tcPr>
          <w:p>
            <w:pPr>
              <w:spacing w:before="0" w:after="0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</w:pPr>
          </w:p>
        </w:tc>
        <w:tc>
          <w:tcPr>
            <w:tcW w:w="3418" w:type="dxa"/>
            <w:tcBorders>
              <w:top w:val="single" w:sz="6" w:space="0" w:color="000000"/>
              <w:left w:val="single" w:sz="6" w:space="0" w:color="000000"/>
            </w:tcBorders>
            <w:noWrap w:val="0"/>
            <w:tcMar>
              <w:top w:w="8" w:type="dxa"/>
              <w:left w:w="108" w:type="dxa"/>
              <w:bottom w:w="8" w:type="dxa"/>
              <w:right w:w="108" w:type="dxa"/>
            </w:tcMar>
            <w:vAlign w:val="top"/>
            <w:hideMark/>
          </w:tcPr>
          <w:p>
            <w:pPr>
              <w:spacing w:before="0" w:after="0"/>
              <w:rPr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  <w:t>17.03.2026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7"/>
                <w:szCs w:val="27"/>
              </w:rPr>
              <w:t xml:space="preserve"> в 00 час 01 мин.</w:t>
            </w:r>
          </w:p>
        </w:tc>
      </w:tr>
    </w:tbl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Пилаев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А.И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в судебное заседание не явился, извещен надлежащим образом, о причинах неявки суд не уведомил, ходатайств не заявлял. При указанных обстоятельствах суд рассмотрел дело в отсутствие </w:t>
      </w:r>
      <w:r>
        <w:rPr>
          <w:rFonts w:ascii="Times New Roman" w:eastAsia="Times New Roman" w:hAnsi="Times New Roman" w:cs="Times New Roman"/>
          <w:sz w:val="27"/>
          <w:szCs w:val="27"/>
        </w:rPr>
        <w:t>Пилаев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А.И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 подтверждение виновности должностного лица </w:t>
      </w:r>
      <w:r>
        <w:rPr>
          <w:rFonts w:ascii="Times New Roman" w:eastAsia="Times New Roman" w:hAnsi="Times New Roman" w:cs="Times New Roman"/>
          <w:sz w:val="27"/>
          <w:szCs w:val="27"/>
        </w:rPr>
        <w:t>Пилаев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А.И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в совершении административного правонарушения суду представлены следующие доказательства: протокол об административном правонарушении № </w:t>
      </w:r>
      <w:r>
        <w:rPr>
          <w:rFonts w:ascii="Times New Roman" w:eastAsia="Times New Roman" w:hAnsi="Times New Roman" w:cs="Times New Roman"/>
          <w:sz w:val="27"/>
          <w:szCs w:val="27"/>
        </w:rPr>
        <w:t>2022/2026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 </w:t>
      </w:r>
      <w:r>
        <w:rPr>
          <w:rFonts w:ascii="Times New Roman" w:eastAsia="Times New Roman" w:hAnsi="Times New Roman" w:cs="Times New Roman"/>
          <w:sz w:val="27"/>
          <w:szCs w:val="27"/>
        </w:rPr>
        <w:t>26.05.2026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; списки почтовых отправлений; общие сведения на </w:t>
      </w:r>
      <w:r>
        <w:rPr>
          <w:rFonts w:ascii="Times New Roman" w:eastAsia="Times New Roman" w:hAnsi="Times New Roman" w:cs="Times New Roman"/>
          <w:sz w:val="27"/>
          <w:szCs w:val="27"/>
        </w:rPr>
        <w:t>Пилаев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А.И</w:t>
      </w:r>
      <w:r>
        <w:rPr>
          <w:rFonts w:ascii="Times New Roman" w:eastAsia="Times New Roman" w:hAnsi="Times New Roman" w:cs="Times New Roman"/>
          <w:sz w:val="27"/>
          <w:szCs w:val="27"/>
        </w:rPr>
        <w:t>.; копия акта о выявлении правонарушения в сфере законодательства РФ об индивидуальном (персо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нифицированном) учете в системе обязательного пенсионного страхования с приложением; расчет финансовой санкции; сведения о застрахованных лицах; выписка из </w:t>
      </w:r>
      <w:r>
        <w:rPr>
          <w:rFonts w:ascii="Times New Roman" w:eastAsia="Times New Roman" w:hAnsi="Times New Roman" w:cs="Times New Roman"/>
          <w:sz w:val="27"/>
          <w:szCs w:val="27"/>
        </w:rPr>
        <w:t>ЕГРЮЛ</w:t>
      </w:r>
      <w:r>
        <w:rPr>
          <w:rFonts w:ascii="Times New Roman" w:eastAsia="Times New Roman" w:hAnsi="Times New Roman" w:cs="Times New Roman"/>
          <w:sz w:val="27"/>
          <w:szCs w:val="27"/>
        </w:rPr>
        <w:t>; уведомление о составлении протокола об административном правонарушении</w:t>
      </w:r>
      <w:r>
        <w:rPr>
          <w:rFonts w:ascii="Times New Roman" w:eastAsia="Times New Roman" w:hAnsi="Times New Roman" w:cs="Times New Roman"/>
          <w:sz w:val="27"/>
          <w:szCs w:val="27"/>
        </w:rPr>
        <w:t>; и другие материалы дела.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Изложенные доказательства получены с соблюдением требований КоАП РФ, допустимы и достоверны, оценены судом по правилам ст. 26.11 КоАП РФ и в своей совокупности подтверждают вину </w:t>
      </w:r>
      <w:r>
        <w:rPr>
          <w:rFonts w:ascii="Times New Roman" w:eastAsia="Times New Roman" w:hAnsi="Times New Roman" w:cs="Times New Roman"/>
          <w:sz w:val="27"/>
          <w:szCs w:val="27"/>
        </w:rPr>
        <w:t>Пилаев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А.И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совершении административного правонарушения.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</w:p>
    <w:p>
      <w:pPr>
        <w:spacing w:before="0" w:after="0"/>
        <w:ind w:firstLine="992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Согласно п. 6 ст. 11 Федерального Закона от 1 апреля 1996 г. № 27-ФЗ</w:t>
      </w:r>
      <w:r>
        <w:rPr>
          <w:rFonts w:ascii="Times New Roman" w:eastAsia="Times New Roman" w:hAnsi="Times New Roman" w:cs="Times New Roman"/>
          <w:sz w:val="27"/>
          <w:szCs w:val="27"/>
        </w:rPr>
        <w:br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"Об индивидуальном (персонифицированном) учете в системах обязательного пенсионного страхования и обязательного социального страхования", сведения, указанные в </w:t>
      </w:r>
      <w:hyperlink r:id="rId4" w:anchor="/document/10106192/entry/1125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подпункте 5 пункта 2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настоящей статьи, представляются не позднее рабочего дня, следующего за днем заключения с </w:t>
      </w:r>
      <w:hyperlink r:id="rId4" w:anchor="/document/10106192/entry/102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застрахованным лицом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соответствующего договора, а в случае прекращения договора не позднее рабочего дня, следующего за днем его прекращения.</w:t>
      </w:r>
    </w:p>
    <w:p>
      <w:pPr>
        <w:spacing w:before="0" w:after="0"/>
        <w:ind w:firstLine="992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Согласно </w:t>
      </w:r>
      <w:r>
        <w:rPr>
          <w:rFonts w:ascii="Times New Roman" w:eastAsia="Times New Roman" w:hAnsi="Times New Roman" w:cs="Times New Roman"/>
          <w:sz w:val="27"/>
          <w:szCs w:val="27"/>
        </w:rPr>
        <w:t>пп</w:t>
      </w:r>
      <w:r>
        <w:rPr>
          <w:rFonts w:ascii="Times New Roman" w:eastAsia="Times New Roman" w:hAnsi="Times New Roman" w:cs="Times New Roman"/>
          <w:sz w:val="27"/>
          <w:szCs w:val="27"/>
        </w:rPr>
        <w:t>. 5 п. 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ст. 11 Федерального Закона от 1 апреля 1996 г. № 27-ФЗ</w:t>
      </w:r>
      <w:r>
        <w:rPr>
          <w:rFonts w:ascii="Times New Roman" w:eastAsia="Times New Roman" w:hAnsi="Times New Roman" w:cs="Times New Roman"/>
          <w:sz w:val="27"/>
          <w:szCs w:val="27"/>
        </w:rPr>
        <w:br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"Об индивидуальном (персонифицированном) учете в системах обязательного пенсионного страхования и обязательного социального страхования", страхователь представляет о каждом работающем у него лице (включая лиц, заключивших договоры гражданско-правового характера, предметом которых является выполнение работ (оказание услуг), договоры авторского заказа, договоры об отчуждении исключительного права на произведения науки, литературы, искусства, издательские лицензионные договоры, лицензионные договоры о предоставлении права использования произведения науки, литературы, искусства, в том числе договоры о передаче полномочий по управлению правами, заключенные с организацией по управлению правами на коллективной основе) следующие </w:t>
      </w:r>
      <w:hyperlink r:id="rId4" w:anchor="/document/405976449/entry/1000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сведения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и документы: дату заключения, дату прекращения и иные реквизиты договора гражданско-правового характера о выполнении работ (об оказании услуг), договора авторского заказа, договора об отчуждении исключительного права на произведения науки, литературы, искусства, издательского лицензионного договора, лицензионного договора о предоставлении права использования произведения науки, литературы, искусства, в том числе договора о передаче полномочий по управлению правами, заключенного с организацией по управлению правами на коллективной основе, на вознаграждение по которым в соответствии с </w:t>
      </w:r>
      <w:hyperlink r:id="rId4" w:anchor="/document/10900200/entry/1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законодательством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Российской Федерации о налогах и сборах начисляются </w:t>
      </w:r>
      <w:hyperlink r:id="rId4" w:anchor="/document/10106192/entry/105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страховые взносы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, и периоды выполнения работ (оказания услуг) по таким договорам.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Суд квалифицирует действия </w:t>
      </w:r>
      <w:r>
        <w:rPr>
          <w:rFonts w:ascii="Times New Roman" w:eastAsia="Times New Roman" w:hAnsi="Times New Roman" w:cs="Times New Roman"/>
          <w:sz w:val="27"/>
          <w:szCs w:val="27"/>
        </w:rPr>
        <w:t>Пилаев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А.И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по ч. 1 ст. 15.33.2 Кодекса РФ об административных правонарушениях – непредставление в установленный </w:t>
      </w:r>
      <w:hyperlink r:id="rId4" w:anchor="/document/10106192/entry/8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  <w:u w:val="single" w:color="0000EE"/>
          </w:rPr>
          <w:t>законодательством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системах обязательного пенсионного страхования и обязательного социального страхования, а равно представление таких сведений в неполном объеме или в искаженном виде, за исключением случаев, предусмотренных </w:t>
      </w:r>
      <w:hyperlink r:id="rId4" w:anchor="/document/12125267/entry/1533202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  <w:u w:val="single" w:color="0000EE"/>
          </w:rPr>
          <w:t>частью 2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настоящей статьи.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предусмотренных </w:t>
      </w:r>
      <w:r>
        <w:rPr>
          <w:rFonts w:ascii="Times New Roman" w:eastAsia="Times New Roman" w:hAnsi="Times New Roman" w:cs="Times New Roman"/>
          <w:sz w:val="27"/>
          <w:szCs w:val="27"/>
        </w:rPr>
        <w:t>ст.ст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4.2, 4.3 КоАП РФ, смягчающих и отягчающих административную ответственность, суд не усматривает.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Оснований для признания совершенного административного правонарушения малозначительным и, соответственно, освобождения от административной ответственности с применением положений ст. 2.</w:t>
      </w:r>
      <w:r>
        <w:rPr>
          <w:rFonts w:ascii="Times New Roman" w:eastAsia="Times New Roman" w:hAnsi="Times New Roman" w:cs="Times New Roman"/>
          <w:sz w:val="27"/>
          <w:szCs w:val="27"/>
        </w:rPr>
        <w:t>9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КоАП РФ, не имеется, поскольку не установлено исключительных обстоятельств, свидетельствующих о наличии предусмотренных указанной нормой признаков малозначительности административного правонарушения, принимая при этом во внимание значимость охраняемых отношений и конкретные обстоятельства совершения административного правонарушения.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Принимая во внимание, что положениями КоАП РФ установлена административная ответственность за сам факт нарушения срока предоставления </w:t>
      </w:r>
      <w:r>
        <w:rPr>
          <w:rFonts w:ascii="Times New Roman" w:eastAsia="Times New Roman" w:hAnsi="Times New Roman" w:cs="Times New Roman"/>
          <w:sz w:val="27"/>
          <w:szCs w:val="27"/>
        </w:rPr>
        <w:br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органы Пенсионного фонда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системе обязательного пенсионного страхования, содеянное не может расцениваться как малозначительное деяние, так как оно полностью соответствует объективной стороне административного правонарушения.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 соответствии с ч. 2 ст. 4.1 КоАП РФ при назначении административного наказания, судом учтены характер совершенного административного правонарушения, личность виновного, его отношение к содеянному обстоятельства смягчающие и отягчающие административную ответственность.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На основании вышеизложенного, и руководствуясь </w:t>
      </w:r>
      <w:r>
        <w:rPr>
          <w:rFonts w:ascii="Times New Roman" w:eastAsia="Times New Roman" w:hAnsi="Times New Roman" w:cs="Times New Roman"/>
          <w:sz w:val="27"/>
          <w:szCs w:val="27"/>
        </w:rPr>
        <w:t>ст.ст</w:t>
      </w:r>
      <w:r>
        <w:rPr>
          <w:rFonts w:ascii="Times New Roman" w:eastAsia="Times New Roman" w:hAnsi="Times New Roman" w:cs="Times New Roman"/>
          <w:sz w:val="27"/>
          <w:szCs w:val="27"/>
        </w:rPr>
        <w:t>. 29.9-29.10 Кодекса Российской Федерации об административных правонарушениях, мировой судья</w:t>
      </w:r>
    </w:p>
    <w:p>
      <w:pPr>
        <w:spacing w:before="0" w:after="0"/>
        <w:ind w:firstLine="567"/>
        <w:jc w:val="center"/>
        <w:rPr>
          <w:sz w:val="27"/>
          <w:szCs w:val="27"/>
        </w:rPr>
      </w:pP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567"/>
        <w:jc w:val="center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Пилаева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Андрея Ивановича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признать виновным в совершении административного правонарушения, предусмотренного ч. 1 ст. 15.33.2 КоАП РФ и назначить наказание в виде административного штрафа в размере 300 (трехсот) рублей.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Административный штраф перечислять по следующим реквизитам: Банк получателя </w:t>
      </w:r>
      <w:r>
        <w:rPr>
          <w:rFonts w:ascii="Times New Roman" w:eastAsia="Times New Roman" w:hAnsi="Times New Roman" w:cs="Times New Roman"/>
          <w:sz w:val="27"/>
          <w:szCs w:val="27"/>
        </w:rPr>
        <w:t>ОКЦ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№8 Уральского </w:t>
      </w:r>
      <w:r>
        <w:rPr>
          <w:rFonts w:ascii="Times New Roman" w:eastAsia="Times New Roman" w:hAnsi="Times New Roman" w:cs="Times New Roman"/>
          <w:sz w:val="27"/>
          <w:szCs w:val="27"/>
        </w:rPr>
        <w:t>ГУ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Банка России // </w:t>
      </w:r>
      <w:r>
        <w:rPr>
          <w:rFonts w:ascii="Times New Roman" w:eastAsia="Times New Roman" w:hAnsi="Times New Roman" w:cs="Times New Roman"/>
          <w:sz w:val="27"/>
          <w:szCs w:val="27"/>
        </w:rPr>
        <w:t>УФК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 Ханты-Мансийскому автономному округу - Югре г. Ханты – </w:t>
      </w:r>
      <w:r>
        <w:rPr>
          <w:rFonts w:ascii="Times New Roman" w:eastAsia="Times New Roman" w:hAnsi="Times New Roman" w:cs="Times New Roman"/>
          <w:sz w:val="27"/>
          <w:szCs w:val="27"/>
        </w:rPr>
        <w:t>Мансийск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Получатель: </w:t>
      </w:r>
      <w:r>
        <w:rPr>
          <w:rFonts w:ascii="Times New Roman" w:eastAsia="Times New Roman" w:hAnsi="Times New Roman" w:cs="Times New Roman"/>
          <w:sz w:val="27"/>
          <w:szCs w:val="27"/>
        </w:rPr>
        <w:t>УФК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 Ханты-Мансийскому автономному округу - Югре (</w:t>
      </w:r>
      <w:r>
        <w:rPr>
          <w:rFonts w:ascii="Times New Roman" w:eastAsia="Times New Roman" w:hAnsi="Times New Roman" w:cs="Times New Roman"/>
          <w:sz w:val="27"/>
          <w:szCs w:val="27"/>
        </w:rPr>
        <w:t>ОСФР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 </w:t>
      </w:r>
      <w:r>
        <w:rPr>
          <w:rFonts w:ascii="Times New Roman" w:eastAsia="Times New Roman" w:hAnsi="Times New Roman" w:cs="Times New Roman"/>
          <w:sz w:val="27"/>
          <w:szCs w:val="27"/>
        </w:rPr>
        <w:t>ХМАО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-Югре, л/с </w:t>
      </w:r>
      <w:r>
        <w:rPr>
          <w:rFonts w:ascii="Times New Roman" w:eastAsia="Times New Roman" w:hAnsi="Times New Roman" w:cs="Times New Roman"/>
          <w:sz w:val="27"/>
          <w:szCs w:val="27"/>
        </w:rPr>
        <w:t>04874Ф87010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), </w:t>
      </w:r>
      <w:r>
        <w:rPr>
          <w:rFonts w:ascii="Times New Roman" w:eastAsia="Times New Roman" w:hAnsi="Times New Roman" w:cs="Times New Roman"/>
          <w:sz w:val="27"/>
          <w:szCs w:val="27"/>
        </w:rPr>
        <w:t>кор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счет N 40102810245370000007, ИНН 8601002078, </w:t>
      </w:r>
      <w:r>
        <w:rPr>
          <w:rFonts w:ascii="Times New Roman" w:eastAsia="Times New Roman" w:hAnsi="Times New Roman" w:cs="Times New Roman"/>
          <w:sz w:val="27"/>
          <w:szCs w:val="27"/>
        </w:rPr>
        <w:t>КПП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860101001, </w:t>
      </w:r>
      <w:r>
        <w:rPr>
          <w:rFonts w:ascii="Times New Roman" w:eastAsia="Times New Roman" w:hAnsi="Times New Roman" w:cs="Times New Roman"/>
          <w:sz w:val="27"/>
          <w:szCs w:val="27"/>
        </w:rPr>
        <w:t>БИК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ТОФК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007162163, </w:t>
      </w:r>
      <w:r>
        <w:rPr>
          <w:rFonts w:ascii="Times New Roman" w:eastAsia="Times New Roman" w:hAnsi="Times New Roman" w:cs="Times New Roman"/>
          <w:sz w:val="27"/>
          <w:szCs w:val="27"/>
        </w:rPr>
        <w:t>ОКТМО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71876000 (город Сургут), р/счет - 03100643000000018700, </w:t>
      </w:r>
      <w:r>
        <w:rPr>
          <w:rFonts w:ascii="Times New Roman" w:eastAsia="Times New Roman" w:hAnsi="Times New Roman" w:cs="Times New Roman"/>
          <w:sz w:val="27"/>
          <w:szCs w:val="27"/>
        </w:rPr>
        <w:t>КБК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79711601230060001140 </w:t>
      </w:r>
      <w:r>
        <w:rPr>
          <w:rFonts w:ascii="Times New Roman" w:eastAsia="Times New Roman" w:hAnsi="Times New Roman" w:cs="Times New Roman"/>
          <w:sz w:val="27"/>
          <w:szCs w:val="27"/>
        </w:rPr>
        <w:t>УИН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797027000000004</w:t>
      </w:r>
      <w:r>
        <w:rPr>
          <w:rFonts w:ascii="Times New Roman" w:eastAsia="Times New Roman" w:hAnsi="Times New Roman" w:cs="Times New Roman"/>
          <w:sz w:val="27"/>
          <w:szCs w:val="27"/>
        </w:rPr>
        <w:t>23504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Копия квитанции предоставляется в </w:t>
      </w:r>
      <w:r>
        <w:rPr>
          <w:rFonts w:ascii="Times New Roman" w:eastAsia="Times New Roman" w:hAnsi="Times New Roman" w:cs="Times New Roman"/>
          <w:sz w:val="27"/>
          <w:szCs w:val="27"/>
        </w:rPr>
        <w:t>каб.105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дома 9 по ул. Гагарина г. Сургута.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Неуплата штрафа в течение 60 дней с момента вступления постановления в законную силу, влечет административную ответственность, предусмотренную ч. 1 ст. 20.25 Кодекса РФ об административных правонарушениях, в виде административного штрафа в двукратном размере неуплаченного административного штрафа либо административного ареста на срок 15 суток, либо обязательных работ на срок до пятидесяти часов.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7"/>
          <w:szCs w:val="27"/>
        </w:rPr>
        <w:t>через мирового судью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2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в течение 10 дней с момента получения копии постановления.</w:t>
      </w:r>
    </w:p>
    <w:p>
      <w:pPr>
        <w:spacing w:before="0" w:after="0"/>
        <w:ind w:firstLine="284"/>
        <w:jc w:val="both"/>
        <w:rPr>
          <w:sz w:val="27"/>
          <w:szCs w:val="27"/>
        </w:rPr>
      </w:pPr>
    </w:p>
    <w:p>
      <w:pPr>
        <w:spacing w:before="0" w:after="0"/>
        <w:ind w:firstLine="284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М.Б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Бордунов</w:t>
      </w:r>
    </w:p>
    <w:p>
      <w:pPr>
        <w:spacing w:before="0" w:after="0"/>
        <w:rPr>
          <w:sz w:val="20"/>
          <w:szCs w:val="20"/>
        </w:rPr>
      </w:pPr>
    </w:p>
    <w:p>
      <w:pPr>
        <w:spacing w:before="0" w:after="0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Копия верна:</w:t>
      </w:r>
    </w:p>
    <w:p>
      <w:pPr>
        <w:spacing w:before="0" w:after="0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Мировой судья судебного участка №2 </w:t>
      </w:r>
      <w:r>
        <w:rPr>
          <w:rFonts w:ascii="Times New Roman" w:eastAsia="Times New Roman" w:hAnsi="Times New Roman" w:cs="Times New Roman"/>
          <w:sz w:val="22"/>
          <w:szCs w:val="22"/>
        </w:rPr>
        <w:t>Сургутского</w:t>
      </w:r>
    </w:p>
    <w:p>
      <w:pPr>
        <w:spacing w:before="0" w:after="0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судебного района города окружного значения Сургута</w:t>
      </w:r>
    </w:p>
    <w:p>
      <w:pPr>
        <w:spacing w:before="0" w:after="0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ХМАО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-Югры ______________________ </w:t>
      </w:r>
      <w:r>
        <w:rPr>
          <w:rFonts w:ascii="Times New Roman" w:eastAsia="Times New Roman" w:hAnsi="Times New Roman" w:cs="Times New Roman"/>
          <w:sz w:val="22"/>
          <w:szCs w:val="22"/>
        </w:rPr>
        <w:t>М.Б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. </w:t>
      </w:r>
      <w:r>
        <w:rPr>
          <w:rFonts w:ascii="Times New Roman" w:eastAsia="Times New Roman" w:hAnsi="Times New Roman" w:cs="Times New Roman"/>
          <w:sz w:val="22"/>
          <w:szCs w:val="22"/>
        </w:rPr>
        <w:t>Бордунов</w:t>
      </w:r>
    </w:p>
    <w:p>
      <w:pPr>
        <w:spacing w:before="0" w:after="0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«</w:t>
      </w:r>
      <w:r>
        <w:rPr>
          <w:rFonts w:ascii="Times New Roman" w:eastAsia="Times New Roman" w:hAnsi="Times New Roman" w:cs="Times New Roman"/>
          <w:sz w:val="22"/>
          <w:szCs w:val="22"/>
        </w:rPr>
        <w:t>24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» июня 2026 года </w:t>
      </w:r>
    </w:p>
    <w:p>
      <w:pPr>
        <w:spacing w:before="0" w:after="0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  <w:sz w:val="22"/>
          <w:szCs w:val="22"/>
        </w:rPr>
        <w:t>0934</w:t>
      </w:r>
      <w:r>
        <w:rPr>
          <w:rFonts w:ascii="Times New Roman" w:eastAsia="Times New Roman" w:hAnsi="Times New Roman" w:cs="Times New Roman"/>
          <w:sz w:val="22"/>
          <w:szCs w:val="22"/>
        </w:rPr>
        <w:t>-2602/2026</w:t>
      </w:r>
    </w:p>
    <w:p>
      <w:pPr>
        <w:spacing w:before="0" w:after="0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Секретарь судебного заседания</w:t>
      </w:r>
    </w:p>
    <w:p>
      <w:pPr>
        <w:spacing w:before="0" w:after="0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____________________ </w:t>
      </w:r>
      <w:r>
        <w:rPr>
          <w:rFonts w:ascii="Times New Roman" w:eastAsia="Times New Roman" w:hAnsi="Times New Roman" w:cs="Times New Roman"/>
          <w:sz w:val="22"/>
          <w:szCs w:val="22"/>
        </w:rPr>
        <w:t>О.П</w:t>
      </w:r>
      <w:r>
        <w:rPr>
          <w:rFonts w:ascii="Times New Roman" w:eastAsia="Times New Roman" w:hAnsi="Times New Roman" w:cs="Times New Roman"/>
          <w:sz w:val="22"/>
          <w:szCs w:val="22"/>
        </w:rPr>
        <w:t>. Куликова</w:t>
      </w:r>
    </w:p>
    <w:p>
      <w:pPr>
        <w:spacing w:before="0" w:after="0"/>
        <w:ind w:firstLine="708"/>
        <w:jc w:val="both"/>
        <w:rPr>
          <w:sz w:val="25"/>
          <w:szCs w:val="25"/>
        </w:rPr>
      </w:pPr>
    </w:p>
    <w:p>
      <w:pPr>
        <w:spacing w:before="0" w:after="0"/>
        <w:ind w:firstLine="709"/>
        <w:jc w:val="both"/>
        <w:rPr>
          <w:sz w:val="20"/>
          <w:szCs w:val="20"/>
        </w:rPr>
      </w:pPr>
    </w:p>
    <w:p>
      <w:pPr>
        <w:spacing w:before="0" w:after="0"/>
        <w:ind w:firstLine="709"/>
        <w:jc w:val="both"/>
        <w:rPr>
          <w:sz w:val="16"/>
          <w:szCs w:val="16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>
    <w:doNotExpandShiftReturn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UserDefinedgrp-37rplc-8">
    <w:name w:val="cat-UserDefined grp-37 rplc-8"/>
    <w:basedOn w:val="DefaultParagraphFont"/>
  </w:style>
  <w:style w:type="character" w:customStyle="1" w:styleId="cat-UserDefinedgrp-38rplc-15">
    <w:name w:val="cat-UserDefined grp-38 rplc-15"/>
    <w:basedOn w:val="DefaultParagraphFont"/>
  </w:style>
  <w:style w:type="character" w:customStyle="1" w:styleId="cat-UserDefinedgrp-39rplc-19">
    <w:name w:val="cat-UserDefined grp-39 rplc-1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